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17.1:</w:t>
        <w:tab/>
        <w:t xml:space="preserve">Circle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one 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of the following and give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two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different reasons why its functional and/or aesthetic characteristics are suited for the intended use.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931"/>
        </w:tabs>
        <w:spacing w:after="0" w:before="240" w:line="259" w:lineRule="auto"/>
        <w:ind w:left="11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impact polystyrene (HIPS)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for moulded yoghurt pots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8931"/>
        </w:tabs>
        <w:spacing w:after="0" w:before="0" w:line="259" w:lineRule="auto"/>
        <w:ind w:left="114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8931"/>
        </w:tabs>
        <w:spacing w:after="0" w:before="0" w:line="259" w:lineRule="auto"/>
        <w:ind w:left="11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Bleed proof paper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for drawing rendered designs with marker pens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8931"/>
        </w:tabs>
        <w:spacing w:after="0" w:before="0" w:line="259" w:lineRule="auto"/>
        <w:ind w:left="11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Stainless steel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for a cutlery set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8931"/>
        </w:tabs>
        <w:spacing w:after="0" w:before="0" w:line="259" w:lineRule="auto"/>
        <w:ind w:left="11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Beech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for a child’s wooden train set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8931"/>
        </w:tabs>
        <w:spacing w:after="0" w:before="0" w:line="259" w:lineRule="auto"/>
        <w:ind w:left="11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Cotton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for a pair of hiking socks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8931"/>
        </w:tabs>
        <w:spacing w:after="120" w:before="0" w:line="259" w:lineRule="auto"/>
        <w:ind w:left="11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Buzzer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for use in a battery operated electronic quiz game</w:t>
      </w:r>
    </w:p>
    <w:p w:rsidR="00000000" w:rsidDel="00000000" w:rsidP="00000000" w:rsidRDefault="00000000" w:rsidRPr="00000000" w14:paraId="0000000D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1.</w:t>
        <w:tab/>
        <w:t xml:space="preserve">[2 marks]</w:t>
      </w:r>
    </w:p>
    <w:p w:rsidR="00000000" w:rsidDel="00000000" w:rsidP="00000000" w:rsidRDefault="00000000" w:rsidRPr="00000000" w14:paraId="0000000E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0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1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2.</w:t>
        <w:tab/>
        <w:t xml:space="preserve">[2 marks]</w:t>
      </w:r>
    </w:p>
    <w:p w:rsidR="00000000" w:rsidDel="00000000" w:rsidP="00000000" w:rsidRDefault="00000000" w:rsidRPr="00000000" w14:paraId="00000015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17.2:</w:t>
        <w:tab/>
        <w:t xml:space="preserve">Choose one of the materials or components listed in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17.1 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and name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one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of the primary sources it is made from.</w:t>
        <w:tab/>
        <w:t xml:space="preserve">[1 mark]</w:t>
      </w:r>
    </w:p>
    <w:p w:rsidR="00000000" w:rsidDel="00000000" w:rsidP="00000000" w:rsidRDefault="00000000" w:rsidRPr="00000000" w14:paraId="0000001C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D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right" w:pos="9354"/>
        </w:tabs>
        <w:spacing w:after="120" w:lineRule="auto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354"/>
        </w:tabs>
        <w:spacing w:after="120" w:lineRule="auto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18:</w:t>
        <w:tab/>
        <w:t xml:space="preserve">Manufacturers and designers often conduct a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‘lifecycle assessment’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to understand the impact that a product or a service has on the environment.   </w:t>
      </w:r>
    </w:p>
    <w:p w:rsidR="00000000" w:rsidDel="00000000" w:rsidP="00000000" w:rsidRDefault="00000000" w:rsidRPr="00000000" w14:paraId="00000021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Describe the five stages of a lifecycle assessment and evaluate how the </w:t>
        <w:br w:type="textWrapping"/>
        <w:t xml:space="preserve">results could influence the way a product is manufactured.</w:t>
        <w:tab/>
        <w:t xml:space="preserve">[8 marks]</w:t>
      </w:r>
    </w:p>
    <w:p w:rsidR="00000000" w:rsidDel="00000000" w:rsidP="00000000" w:rsidRDefault="00000000" w:rsidRPr="00000000" w14:paraId="00000022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4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6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7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8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9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B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C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D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E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2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3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5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6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7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8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9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br w:type="textWrapping"/>
        <w:tab/>
      </w:r>
    </w:p>
    <w:p w:rsidR="00000000" w:rsidDel="00000000" w:rsidP="00000000" w:rsidRDefault="00000000" w:rsidRPr="00000000" w14:paraId="0000003A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B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C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D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E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F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0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1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2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3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4">
      <w:pPr>
        <w:ind w:left="567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M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