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27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i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Exam Style Questions: </w:t>
      </w:r>
      <w:r w:rsidDel="00000000" w:rsidR="00000000" w:rsidRPr="00000000">
        <w:rPr>
          <w:i w:val="1"/>
          <w:u w:val="single"/>
          <w:rtl w:val="0"/>
        </w:rPr>
        <w:t xml:space="preserve">2 Mark Questions = Multiple Choice (give yourself 2 minutes per Q)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If you get any of the following questions wrong, before next week, please ensure you test yourself on key content.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Support can be gained from: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Your RE teacher (F33)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Give two reasons why a person may commit a crime. [2]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Give two ways a Christian may respond to hate crime. [2]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Give two ways a crime might be punished in the UK. [2]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Give two ways a criminal should be punished. [2]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9GneW2bhKEDm1rkaDsdaUTBmQ==">AMUW2mUe/2WolWOIIz9ljvwaGodL4VxAv8Qxr2XzM/xwQTAryTe10lWR9WXrLM1QzYWet+GEmcON68Bz2pdiYNUz3TBZHOP63mu4cNVrqERZIcwuUEKXiGjV/X4Bd5/zdkRAsE0rI7w1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